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Indicatori di condizioni di scarso benessere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-71755</wp:posOffset>
                </wp:positionH>
                <wp:positionV relativeFrom="page">
                  <wp:posOffset>1724660</wp:posOffset>
                </wp:positionV>
                <wp:extent cx="5469255" cy="158115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1581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2716" w:topFromText="0" w:vertAnchor="page"/>
                              <w:tblW w:w="8613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17"/>
                              <w:gridCol w:w="5387"/>
                              <w:gridCol w:w="2409"/>
                            </w:tblGrid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Rilievo post mortem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Soglia  allarme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Tasso Mortalità cumulativa giornaliera (TMCG)*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2 + 0,12 X gg.%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Mortalità all’arrivo (DOA)**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1,5%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Condizioni degli animali alla visita ante-mortem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FILTRO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00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>
                                    <w:rPr>
                                      <w:color w:val="FFFF0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Scarto igienico-sanitario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0" w:name="__UnoMark__147_1881452004"/>
                                  <w:bookmarkStart w:id="1" w:name="__UnoMark__148_1881452004"/>
                                  <w:bookmarkEnd w:id="0"/>
                                  <w:bookmarkEnd w:id="1"/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" w:name="__UnoMark__149_1881452004"/>
                                  <w:bookmarkEnd w:id="2"/>
                                  <w:r>
                                    <w:rPr/>
                                    <w:t>Lesioni Podali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(FPL)</w:t>
                                  </w:r>
                                  <w:bookmarkStart w:id="3" w:name="__UnoMark__150_1881452004"/>
                                  <w:bookmarkEnd w:id="3"/>
                                  <w:r>
                                    <w:rPr>
                                      <w:lang w:eastAsia="it-IT"/>
                                    </w:rPr>
                                    <w:t xml:space="preserve"> ****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151_1881452004"/>
                                  <w:bookmarkEnd w:id="4"/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0.65pt;height:124.5pt;mso-wrap-distance-left:7.05pt;mso-wrap-distance-right:7.05pt;mso-wrap-distance-top:0pt;mso-wrap-distance-bottom:0pt;margin-top:135.8pt;mso-position-vertical-relative:page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2716" w:topFromText="0" w:vertAnchor="page"/>
                        <w:tblW w:w="8613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17"/>
                        <w:gridCol w:w="5387"/>
                        <w:gridCol w:w="2409"/>
                      </w:tblGrid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Rilievo post mortem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Soglia  allarme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Tasso Mortalità cumulativa giornaliera (TMCG)*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 + 0,12 X gg.%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Mortalità all’arrivo (DOA)**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1,5%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Condizioni degli animali alla visita ante-mortem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FILTRO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00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Scarto igienico-sanitario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" w:name="__UnoMark__147_1881452004"/>
                            <w:bookmarkStart w:id="6" w:name="__UnoMark__148_1881452004"/>
                            <w:bookmarkEnd w:id="5"/>
                            <w:bookmarkEnd w:id="6"/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" w:name="__UnoMark__149_1881452004"/>
                            <w:bookmarkEnd w:id="7"/>
                            <w:r>
                              <w:rPr/>
                              <w:t>Lesioni Podali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(FPL)</w:t>
                            </w:r>
                            <w:bookmarkStart w:id="8" w:name="__UnoMark__150_1881452004"/>
                            <w:bookmarkEnd w:id="8"/>
                            <w:r>
                              <w:rPr>
                                <w:lang w:eastAsia="it-IT"/>
                              </w:rPr>
                              <w:t xml:space="preserve"> ****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" w:name="__UnoMark__151_1881452004"/>
                            <w:bookmarkEnd w:id="9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Tabella lesioni da rilevare al macello.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 il modello di scorta riporta una mortalità cumulativa  </w:t>
      </w:r>
      <w:r>
        <w:rPr>
          <w:rFonts w:cs="Calibri"/>
          <w:color w:val="FF0000"/>
        </w:rPr>
        <w:t xml:space="preserve">≥ </w:t>
      </w:r>
      <w:r>
        <w:rPr>
          <w:color w:val="FF0000"/>
        </w:rPr>
        <w:t>2 + 0,12 X gg.%</w:t>
      </w:r>
    </w:p>
    <w:p>
      <w:pPr>
        <w:pStyle w:val="Normal"/>
        <w:jc w:val="center"/>
        <w:rPr/>
      </w:pPr>
      <w:r>
        <w:rPr/>
        <w:t>oppure</w:t>
      </w:r>
    </w:p>
    <w:p>
      <w:pPr>
        <w:pStyle w:val="Normal"/>
        <w:rPr/>
      </w:pPr>
      <w:r>
        <w:rPr/>
        <w:t xml:space="preserve">si sospetta un DOA </w:t>
      </w:r>
      <w:r>
        <w:rPr>
          <w:rFonts w:cs="Calibri"/>
          <w:color w:val="FF0000"/>
        </w:rPr>
        <w:t>≥ 1,5</w:t>
      </w:r>
      <w:r>
        <w:rPr>
          <w:color w:val="FF0000"/>
        </w:rPr>
        <w:t xml:space="preserve">%,  </w:t>
      </w:r>
    </w:p>
    <w:p>
      <w:pPr>
        <w:pStyle w:val="Normal"/>
        <w:jc w:val="center"/>
        <w:rPr/>
      </w:pPr>
      <w:r>
        <w:rPr/>
        <w:t>oppure</w:t>
      </w:r>
    </w:p>
    <w:p>
      <w:pPr>
        <w:pStyle w:val="Normal"/>
        <w:rPr/>
      </w:pPr>
      <w:r>
        <w:rPr/>
        <w:t xml:space="preserve">alla visita ante-mortem presso il macello gli animali si presentano i condizioni tali da fare sospettare un mancato rispetto delle norme del benessere animale in allevamento </w:t>
      </w:r>
    </w:p>
    <w:p>
      <w:pPr>
        <w:pStyle w:val="Normal"/>
        <w:rPr/>
      </w:pPr>
      <w:r>
        <w:rPr/>
        <w:t>il veterinario ufficiale dispone: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r>
        <w:rPr/>
        <w:t>il rilievo dello scarto igienico sanitario sulla partita (punto3 della tabella)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r>
        <w:rPr/>
        <w:t>il rilievo delle lesioni podali su un campione di 200 zampe</w:t>
      </w:r>
      <w:r>
        <w:rPr>
          <w:lang w:eastAsia="it-IT"/>
        </w:rPr>
        <w:t>****</w:t>
      </w:r>
    </w:p>
    <w:p>
      <w:pPr>
        <w:pStyle w:val="Normal"/>
        <w:jc w:val="both"/>
        <w:rPr/>
      </w:pPr>
      <w:r>
        <w:rPr/>
        <w:t>* TMCG = somma dei tassi di mortalità giornaliera.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** DOA dato che il valore preciso si ha solo a fine carico si procede a ulteriori indagini se si sospetta un risultato </w:t>
      </w:r>
      <w:r>
        <w:rPr>
          <w:rFonts w:cs="Calibri"/>
          <w:color w:val="FF0000"/>
        </w:rPr>
        <w:t>≥ 1,5</w:t>
      </w:r>
      <w:r>
        <w:rPr>
          <w:color w:val="FF0000"/>
        </w:rPr>
        <w:t xml:space="preserve">%. </w:t>
      </w:r>
    </w:p>
    <w:p>
      <w:pPr>
        <w:pStyle w:val="Normal"/>
        <w:jc w:val="both"/>
        <w:rPr/>
      </w:pPr>
      <w:r>
        <w:rPr>
          <w:lang w:eastAsia="it-IT"/>
        </w:rPr>
        <w:t xml:space="preserve">*** Lesione plantare tipo “0”, caratterizzata da leggera depigmentazione; </w:t>
      </w:r>
    </w:p>
    <w:p>
      <w:pPr>
        <w:pStyle w:val="Normal"/>
        <w:jc w:val="both"/>
        <w:rPr/>
      </w:pPr>
      <w:r>
        <w:rPr>
          <w:lang w:eastAsia="it-IT"/>
        </w:rPr>
        <w:t>lesione plantare tipo “1”, caratterizzata dalla presenza di croste occupanti non più del 50% della zona stessa;</w:t>
      </w:r>
    </w:p>
    <w:p>
      <w:pPr>
        <w:pStyle w:val="Normal"/>
        <w:jc w:val="both"/>
        <w:rPr/>
      </w:pPr>
      <w:r>
        <w:rPr>
          <w:lang w:eastAsia="it-IT"/>
        </w:rPr>
        <w:t>lesione plantare tipo “2”, caratterizzata da ampie croste occupanti più del 50% dell’intera superficie (sono classificate allo stesso modo quelle zampe le cui croste, oltre ad occupare la zona plantare, si estendono anche alle dita).</w:t>
      </w:r>
    </w:p>
    <w:p>
      <w:pPr>
        <w:pStyle w:val="Normal"/>
        <w:ind w:left="426" w:hanging="426"/>
        <w:rPr>
          <w:lang w:eastAsia="it-IT"/>
        </w:rPr>
      </w:pPr>
      <w:r>
        <w:rPr>
          <w:lang w:eastAsia="it-IT"/>
        </w:rPr>
      </w:r>
    </w:p>
    <w:p>
      <w:pPr>
        <w:pStyle w:val="Normal"/>
        <w:rPr>
          <w:lang w:eastAsia="it-IT"/>
        </w:rPr>
      </w:pPr>
      <w:r>
        <w:rPr>
          <w:lang w:eastAsia="it-IT"/>
        </w:rPr>
        <w:t xml:space="preserve">      </w:t>
      </w:r>
      <w:r>
        <w:rPr>
          <w:lang w:eastAsia="it-IT"/>
        </w:rPr>
        <w:tab/>
        <w:t xml:space="preserve">      Tipo 0x0 +Tipo1 x 0,5  + Tipo 2  x 2</w:t>
      </w:r>
    </w:p>
    <w:p>
      <w:pPr>
        <w:pStyle w:val="Normal"/>
        <w:tabs>
          <w:tab w:val="center" w:pos="4819" w:leader="none"/>
        </w:tabs>
        <w:rPr>
          <w:lang w:eastAsia="it-IT"/>
        </w:rPr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2">
                <wp:simplePos x="0" y="0"/>
                <wp:positionH relativeFrom="column">
                  <wp:posOffset>680085</wp:posOffset>
                </wp:positionH>
                <wp:positionV relativeFrom="paragraph">
                  <wp:posOffset>80645</wp:posOffset>
                </wp:positionV>
                <wp:extent cx="2258060" cy="10160"/>
                <wp:effectExtent l="9525" t="13970" r="9525" b="508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7560" cy="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55pt,6pt" to="231.25pt,6.7pt" ID="Connettore 1 1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lang w:eastAsia="it-IT"/>
        </w:rPr>
        <w:t xml:space="preserve">Formula = </w:t>
        <w:tab/>
        <w:t xml:space="preserve">               x 100 = X</w:t>
      </w:r>
    </w:p>
    <w:p>
      <w:pPr>
        <w:pStyle w:val="Normal"/>
        <w:tabs>
          <w:tab w:val="center" w:pos="4819" w:leader="none"/>
        </w:tabs>
        <w:rPr>
          <w:lang w:eastAsia="it-IT"/>
        </w:rPr>
      </w:pPr>
      <w:r>
        <w:rPr>
          <w:lang w:eastAsia="it-IT"/>
        </w:rPr>
        <w:t xml:space="preserve">         </w:t>
      </w:r>
    </w:p>
    <w:p>
      <w:pPr>
        <w:pStyle w:val="Normal"/>
        <w:ind w:firstLine="720"/>
        <w:rPr/>
      </w:pPr>
      <w:r>
        <w:rPr/>
        <w:t xml:space="preserve">         </w:t>
      </w:r>
      <w:r>
        <w:rPr/>
        <w:t>Numero di plantari controllati (200)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0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Courier New" w:hAnsi="Courier New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ourier New" w:hAnsi="Courier New" w:cs="Mangal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LibreOffice/5.1.0.3$Windows_x86 LibreOffice_project/5e3e00a007d9b3b6efb6797a8b8e57b51ab1f737</Application>
  <Pages>1</Pages>
  <Words>244</Words>
  <Characters>1262</Characters>
  <CharactersWithSpaces>1526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2016-03-04T09:29:00Z</dcterms:created>
  <dc:creator>leonardojames.vinco</dc:creator>
  <dc:description/>
  <dc:language>it-IT</dc:language>
  <cp:lastModifiedBy>G.Lombardi </cp:lastModifiedBy>
  <dcterms:modified xsi:type="dcterms:W3CDTF">2016-03-07T12:12:58Z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